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9469" w14:textId="0A0449BA" w:rsidR="00A226D8" w:rsidRDefault="00F27FAF" w:rsidP="00A226D8">
      <w:pPr>
        <w:pStyle w:val="Title"/>
        <w:jc w:val="center"/>
        <w:rPr>
          <w:rFonts w:ascii="Aptos" w:hAnsi="Aptos"/>
          <w:b/>
        </w:rPr>
      </w:pPr>
      <w:r w:rsidRPr="00022B7E">
        <w:rPr>
          <w:rFonts w:ascii="Aptos" w:hAnsi="Aptos"/>
          <w:noProof/>
        </w:rPr>
        <w:drawing>
          <wp:anchor distT="0" distB="0" distL="114300" distR="114300" simplePos="0" relativeHeight="251658240" behindDoc="0" locked="0" layoutInCell="1" allowOverlap="1" wp14:anchorId="206E1F6B" wp14:editId="442F510A">
            <wp:simplePos x="0" y="0"/>
            <wp:positionH relativeFrom="margin">
              <wp:posOffset>1231900</wp:posOffset>
            </wp:positionH>
            <wp:positionV relativeFrom="paragraph">
              <wp:posOffset>0</wp:posOffset>
            </wp:positionV>
            <wp:extent cx="3352800" cy="863270"/>
            <wp:effectExtent l="0" t="0" r="0" b="0"/>
            <wp:wrapThrough wrapText="bothSides">
              <wp:wrapPolygon edited="0">
                <wp:start x="0" y="0"/>
                <wp:lineTo x="0" y="20980"/>
                <wp:lineTo x="21477" y="20980"/>
                <wp:lineTo x="21477" y="0"/>
                <wp:lineTo x="0" y="0"/>
              </wp:wrapPolygon>
            </wp:wrapThrough>
            <wp:docPr id="923743531" name="Picture 1" descr="Header Image for Woodmancote Parish Council West Suss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 Image for Woodmancote Parish Council West Susse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E6AD86" w14:textId="129C3F9B" w:rsidR="000D24A7" w:rsidRPr="00D27133" w:rsidRDefault="00600209" w:rsidP="000D24A7">
      <w:pPr>
        <w:pBdr>
          <w:bottom w:val="single" w:sz="4" w:space="1" w:color="auto"/>
        </w:pBdr>
        <w:jc w:val="center"/>
        <w:rPr>
          <w:rFonts w:ascii="Aptos" w:hAnsi="Aptos"/>
          <w:b/>
          <w:bCs/>
          <w:color w:val="455F51" w:themeColor="text2"/>
          <w:sz w:val="28"/>
          <w:szCs w:val="28"/>
        </w:rPr>
      </w:pPr>
      <w:r>
        <w:rPr>
          <w:rFonts w:ascii="Aptos" w:hAnsi="Aptos"/>
          <w:b/>
          <w:bCs/>
          <w:color w:val="455F51" w:themeColor="text2"/>
          <w:sz w:val="28"/>
          <w:szCs w:val="28"/>
        </w:rPr>
        <w:t xml:space="preserve">Planning Applications </w:t>
      </w:r>
      <w:r w:rsidR="000D24A7" w:rsidRPr="00D27133">
        <w:rPr>
          <w:rFonts w:ascii="Aptos" w:hAnsi="Aptos"/>
          <w:b/>
          <w:bCs/>
          <w:color w:val="455F51" w:themeColor="text2"/>
          <w:sz w:val="28"/>
          <w:szCs w:val="28"/>
        </w:rPr>
        <w:t>Policy</w:t>
      </w:r>
    </w:p>
    <w:p w14:paraId="01BA7FD8" w14:textId="754CAE38" w:rsid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Purpose:</w:t>
      </w:r>
      <w:r w:rsidRPr="001305A9">
        <w:rPr>
          <w:rFonts w:ascii="Aptos" w:hAnsi="Aptos"/>
          <w:color w:val="455F51" w:themeColor="text2"/>
        </w:rPr>
        <w:t xml:space="preserve"> To provide a timely, consistent and well evidence</w:t>
      </w:r>
      <w:r w:rsidR="00517C9E">
        <w:rPr>
          <w:rFonts w:ascii="Aptos" w:hAnsi="Aptos"/>
          <w:color w:val="455F51" w:themeColor="text2"/>
        </w:rPr>
        <w:t>d</w:t>
      </w:r>
      <w:r w:rsidRPr="001305A9">
        <w:rPr>
          <w:rFonts w:ascii="Aptos" w:hAnsi="Aptos"/>
          <w:color w:val="455F51" w:themeColor="text2"/>
        </w:rPr>
        <w:t xml:space="preserve"> planning consultation response that reflects national policy, statutory requirements and local community priorities.</w:t>
      </w:r>
    </w:p>
    <w:p w14:paraId="02779BD3" w14:textId="77777777" w:rsidR="00517C9E" w:rsidRPr="001305A9" w:rsidRDefault="00517C9E" w:rsidP="001305A9">
      <w:pPr>
        <w:spacing w:before="0" w:after="0"/>
        <w:rPr>
          <w:rFonts w:ascii="Aptos" w:hAnsi="Aptos"/>
          <w:color w:val="455F51" w:themeColor="text2"/>
        </w:rPr>
      </w:pPr>
    </w:p>
    <w:p w14:paraId="24AF1286" w14:textId="77777777" w:rsidR="00517C9E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Adopted:</w:t>
      </w:r>
    </w:p>
    <w:p w14:paraId="6AC73E4F" w14:textId="19C48F02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</w:r>
      <w:r w:rsidRPr="001305A9">
        <w:rPr>
          <w:rFonts w:ascii="Aptos" w:hAnsi="Aptos"/>
          <w:color w:val="455F51" w:themeColor="text2"/>
        </w:rPr>
        <w:tab/>
        <w:t>Minute Reference:</w:t>
      </w:r>
    </w:p>
    <w:p w14:paraId="78AE496B" w14:textId="77777777" w:rsid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Review:</w:t>
      </w:r>
    </w:p>
    <w:p w14:paraId="1F849E33" w14:textId="77777777" w:rsidR="00517C9E" w:rsidRPr="001305A9" w:rsidRDefault="00517C9E" w:rsidP="00517C9E">
      <w:pPr>
        <w:pBdr>
          <w:bottom w:val="single" w:sz="4" w:space="1" w:color="auto"/>
        </w:pBdr>
        <w:spacing w:before="0" w:after="0"/>
        <w:rPr>
          <w:rFonts w:ascii="Aptos" w:hAnsi="Aptos"/>
          <w:color w:val="455F51" w:themeColor="text2"/>
        </w:rPr>
      </w:pPr>
    </w:p>
    <w:p w14:paraId="5383CB00" w14:textId="77777777" w:rsidR="00517C9E" w:rsidRDefault="00517C9E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</w:p>
    <w:p w14:paraId="51439437" w14:textId="6B666D80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Introduction</w:t>
      </w:r>
    </w:p>
    <w:p w14:paraId="2899F60C" w14:textId="10A078F2" w:rsidR="001305A9" w:rsidRPr="001305A9" w:rsidRDefault="00517C9E" w:rsidP="001305A9">
      <w:pPr>
        <w:spacing w:before="0" w:after="0"/>
        <w:rPr>
          <w:rFonts w:ascii="Aptos" w:hAnsi="Aptos"/>
          <w:color w:val="455F51" w:themeColor="text2"/>
        </w:rPr>
      </w:pPr>
      <w:r>
        <w:rPr>
          <w:rFonts w:ascii="Aptos" w:hAnsi="Aptos"/>
          <w:color w:val="455F51" w:themeColor="text2"/>
        </w:rPr>
        <w:t>Woodmancote Parish C</w:t>
      </w:r>
      <w:r w:rsidR="001305A9" w:rsidRPr="001305A9">
        <w:rPr>
          <w:rFonts w:ascii="Aptos" w:hAnsi="Aptos"/>
          <w:color w:val="455F51" w:themeColor="text2"/>
        </w:rPr>
        <w:t>ouncil is a statutory consultee on planning applications under the Town and Country Planning Act 1990. Thile the Parish Council do not determine applications, its responses form an important part of the decision-making process and aligns with the Localism Act 2011, which emphasises community involvement in planning, and the Openness of Local Government Bodies Regulations 2014, which require transparent decision making.</w:t>
      </w:r>
    </w:p>
    <w:p w14:paraId="3580EBB3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2DDEF47D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This policy ensures that the Councils responses are:</w:t>
      </w:r>
    </w:p>
    <w:p w14:paraId="5D563DAB" w14:textId="77777777" w:rsidR="001305A9" w:rsidRPr="001305A9" w:rsidRDefault="001305A9" w:rsidP="001305A9">
      <w:pPr>
        <w:numPr>
          <w:ilvl w:val="0"/>
          <w:numId w:val="2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Timely – meeting statutory deadlines</w:t>
      </w:r>
    </w:p>
    <w:p w14:paraId="5088B64A" w14:textId="77777777" w:rsidR="001305A9" w:rsidRPr="001305A9" w:rsidRDefault="001305A9" w:rsidP="001305A9">
      <w:pPr>
        <w:numPr>
          <w:ilvl w:val="0"/>
          <w:numId w:val="2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Evidence based – drawing on national and local policy </w:t>
      </w:r>
    </w:p>
    <w:p w14:paraId="27C627AD" w14:textId="77777777" w:rsidR="001305A9" w:rsidRPr="001305A9" w:rsidRDefault="001305A9" w:rsidP="001305A9">
      <w:pPr>
        <w:numPr>
          <w:ilvl w:val="0"/>
          <w:numId w:val="2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Locally informed – reflecting community views </w:t>
      </w:r>
      <w:proofErr w:type="gramStart"/>
      <w:r w:rsidRPr="001305A9">
        <w:rPr>
          <w:rFonts w:ascii="Aptos" w:hAnsi="Aptos"/>
          <w:color w:val="455F51" w:themeColor="text2"/>
        </w:rPr>
        <w:t>an</w:t>
      </w:r>
      <w:proofErr w:type="gramEnd"/>
      <w:r w:rsidRPr="001305A9">
        <w:rPr>
          <w:rFonts w:ascii="Aptos" w:hAnsi="Aptos"/>
          <w:color w:val="455F51" w:themeColor="text2"/>
        </w:rPr>
        <w:t xml:space="preserve"> parish priorities</w:t>
      </w:r>
    </w:p>
    <w:p w14:paraId="77ECD5CF" w14:textId="77777777" w:rsidR="001305A9" w:rsidRPr="001305A9" w:rsidRDefault="001305A9" w:rsidP="001305A9">
      <w:pPr>
        <w:numPr>
          <w:ilvl w:val="0"/>
          <w:numId w:val="2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Consistent – using clear criteria for escalation and decision-making</w:t>
      </w:r>
    </w:p>
    <w:p w14:paraId="53D36EB8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714B60E2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Aim</w:t>
      </w:r>
    </w:p>
    <w:p w14:paraId="73D0A859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To improve the quality, consistency and transparency of the Council’s planning consultation responses.</w:t>
      </w:r>
    </w:p>
    <w:p w14:paraId="26D74E0D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2CDA1BF8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 xml:space="preserve"> Objectives</w:t>
      </w:r>
    </w:p>
    <w:p w14:paraId="466FCB5D" w14:textId="77777777" w:rsidR="001305A9" w:rsidRPr="001305A9" w:rsidRDefault="001305A9" w:rsidP="001305A9">
      <w:pPr>
        <w:numPr>
          <w:ilvl w:val="0"/>
          <w:numId w:val="3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To streamline the handling of minor applications</w:t>
      </w:r>
    </w:p>
    <w:p w14:paraId="49D9998F" w14:textId="77777777" w:rsidR="001305A9" w:rsidRPr="001305A9" w:rsidRDefault="001305A9" w:rsidP="001305A9">
      <w:pPr>
        <w:numPr>
          <w:ilvl w:val="0"/>
          <w:numId w:val="3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To ensure larger, complex or sensitive applications receive full committee scrutiny.</w:t>
      </w:r>
    </w:p>
    <w:p w14:paraId="3BE4D692" w14:textId="77777777" w:rsidR="001305A9" w:rsidRPr="001305A9" w:rsidRDefault="001305A9" w:rsidP="001305A9">
      <w:pPr>
        <w:numPr>
          <w:ilvl w:val="0"/>
          <w:numId w:val="3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To ensure responses are aligned with the NPPF, local plans, neighbourhood plans and material planning considerations.</w:t>
      </w:r>
    </w:p>
    <w:p w14:paraId="55086DCA" w14:textId="77777777" w:rsidR="001305A9" w:rsidRPr="001305A9" w:rsidRDefault="001305A9" w:rsidP="001305A9">
      <w:pPr>
        <w:numPr>
          <w:ilvl w:val="0"/>
          <w:numId w:val="3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To ensure councillors understand the distinction between material and non-material considerations.</w:t>
      </w:r>
    </w:p>
    <w:p w14:paraId="3F68B48D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2EE35AB8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Principles for assessing planning applications</w:t>
      </w:r>
    </w:p>
    <w:p w14:paraId="631C01FC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When forming a </w:t>
      </w:r>
      <w:proofErr w:type="gramStart"/>
      <w:r w:rsidRPr="001305A9">
        <w:rPr>
          <w:rFonts w:ascii="Aptos" w:hAnsi="Aptos"/>
          <w:color w:val="455F51" w:themeColor="text2"/>
        </w:rPr>
        <w:t>response</w:t>
      </w:r>
      <w:proofErr w:type="gramEnd"/>
      <w:r w:rsidRPr="001305A9">
        <w:rPr>
          <w:rFonts w:ascii="Aptos" w:hAnsi="Aptos"/>
          <w:color w:val="455F51" w:themeColor="text2"/>
        </w:rPr>
        <w:t xml:space="preserve"> the Council will consider</w:t>
      </w:r>
    </w:p>
    <w:p w14:paraId="448502C7" w14:textId="77777777" w:rsidR="001305A9" w:rsidRPr="001305A9" w:rsidRDefault="001305A9" w:rsidP="001305A9">
      <w:pPr>
        <w:numPr>
          <w:ilvl w:val="0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National Planning Policy Framework (NPPF) policies</w:t>
      </w:r>
    </w:p>
    <w:p w14:paraId="3DC86B27" w14:textId="77777777" w:rsidR="001305A9" w:rsidRPr="001305A9" w:rsidRDefault="001305A9" w:rsidP="001305A9">
      <w:pPr>
        <w:numPr>
          <w:ilvl w:val="0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Local Development Plan Policies </w:t>
      </w:r>
    </w:p>
    <w:p w14:paraId="4CC38F5C" w14:textId="77777777" w:rsidR="001305A9" w:rsidRPr="001305A9" w:rsidRDefault="001305A9" w:rsidP="001305A9">
      <w:pPr>
        <w:numPr>
          <w:ilvl w:val="0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Material Considerations such as </w:t>
      </w:r>
    </w:p>
    <w:p w14:paraId="055F8E3F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Impact on character and appearance of the areas</w:t>
      </w:r>
    </w:p>
    <w:p w14:paraId="3DE0C7DA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Residential amenity (privacy, light, noise)</w:t>
      </w:r>
    </w:p>
    <w:p w14:paraId="735FBC2D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Highway safety and parking</w:t>
      </w:r>
    </w:p>
    <w:p w14:paraId="3AC2FD37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Heritage assets</w:t>
      </w:r>
    </w:p>
    <w:p w14:paraId="6578EBFD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lastRenderedPageBreak/>
        <w:t>Environmental impact</w:t>
      </w:r>
    </w:p>
    <w:p w14:paraId="6B022DE9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Drainage and flood risk</w:t>
      </w:r>
    </w:p>
    <w:p w14:paraId="4DA83E27" w14:textId="77777777" w:rsidR="001305A9" w:rsidRPr="001305A9" w:rsidRDefault="001305A9" w:rsidP="001305A9">
      <w:pPr>
        <w:numPr>
          <w:ilvl w:val="1"/>
          <w:numId w:val="4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Compliance with permitted development limits</w:t>
      </w:r>
    </w:p>
    <w:p w14:paraId="4A653768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Non-material considerations (</w:t>
      </w:r>
      <w:proofErr w:type="spellStart"/>
      <w:r w:rsidRPr="001305A9">
        <w:rPr>
          <w:rFonts w:ascii="Aptos" w:hAnsi="Aptos"/>
          <w:color w:val="455F51" w:themeColor="text2"/>
        </w:rPr>
        <w:t>eg</w:t>
      </w:r>
      <w:proofErr w:type="spellEnd"/>
      <w:r w:rsidRPr="001305A9">
        <w:rPr>
          <w:rFonts w:ascii="Aptos" w:hAnsi="Aptos"/>
          <w:color w:val="455F51" w:themeColor="text2"/>
        </w:rPr>
        <w:t xml:space="preserve"> loss of private views, property value or personal circumstance) will not form part of the Council’s response.</w:t>
      </w:r>
    </w:p>
    <w:p w14:paraId="5AF1B151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052C6205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 xml:space="preserve">Delegation and decision-making structure </w:t>
      </w:r>
    </w:p>
    <w:p w14:paraId="12B91B62" w14:textId="6DDEE685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ALL planning applications notified by the planning authority will be logged and reported to </w:t>
      </w:r>
      <w:r w:rsidR="0090783D">
        <w:rPr>
          <w:rFonts w:ascii="Aptos" w:hAnsi="Aptos"/>
          <w:color w:val="455F51" w:themeColor="text2"/>
        </w:rPr>
        <w:t>Council</w:t>
      </w:r>
    </w:p>
    <w:p w14:paraId="625C2F9A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059B1F36" w14:textId="452A194C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Delegated consultation for minor applications</w:t>
      </w:r>
    </w:p>
    <w:p w14:paraId="2B08FC30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Minor applications may be considered via email consultation, unless a member requests a committee discussion.</w:t>
      </w:r>
    </w:p>
    <w:p w14:paraId="12BF7F4D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578379D9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The Clerk will circulate the details of the planning application and set a response deadline.</w:t>
      </w:r>
    </w:p>
    <w:p w14:paraId="69E6619B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463B671A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Minor applications include:</w:t>
      </w:r>
    </w:p>
    <w:p w14:paraId="6FEF2A95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Single storey rear extensions</w:t>
      </w:r>
    </w:p>
    <w:p w14:paraId="454183AD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Porches</w:t>
      </w:r>
    </w:p>
    <w:p w14:paraId="7D654CE6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Conservatories</w:t>
      </w:r>
    </w:p>
    <w:p w14:paraId="32441794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Garage conversions</w:t>
      </w:r>
    </w:p>
    <w:p w14:paraId="794964B3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Repairs / restorations to listed buildings</w:t>
      </w:r>
    </w:p>
    <w:p w14:paraId="0FA9225D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Advertisements</w:t>
      </w:r>
    </w:p>
    <w:p w14:paraId="6697FCA9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Outbuildings (summerhouses, offices etc)</w:t>
      </w:r>
    </w:p>
    <w:p w14:paraId="6FC4C60B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Variation of conditions</w:t>
      </w:r>
    </w:p>
    <w:p w14:paraId="6AEE8E5A" w14:textId="77777777" w:rsidR="001305A9" w:rsidRPr="001305A9" w:rsidRDefault="001305A9" w:rsidP="001305A9">
      <w:pPr>
        <w:numPr>
          <w:ilvl w:val="0"/>
          <w:numId w:val="5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Tree works</w:t>
      </w:r>
    </w:p>
    <w:p w14:paraId="5CD8045C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662C2C63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If views are divided, or if a member requests it the application will be referred to a meeting.</w:t>
      </w:r>
    </w:p>
    <w:p w14:paraId="47AFD28B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3F2CECA6" w14:textId="300880B4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 xml:space="preserve">Applications requiring </w:t>
      </w:r>
      <w:r w:rsidR="0051025F">
        <w:rPr>
          <w:rFonts w:ascii="Aptos" w:hAnsi="Aptos"/>
          <w:b/>
          <w:bCs/>
          <w:color w:val="455F51" w:themeColor="text2"/>
        </w:rPr>
        <w:t>consideration at</w:t>
      </w:r>
      <w:r w:rsidR="005C23FF">
        <w:rPr>
          <w:rFonts w:ascii="Aptos" w:hAnsi="Aptos"/>
          <w:b/>
          <w:bCs/>
          <w:color w:val="455F51" w:themeColor="text2"/>
        </w:rPr>
        <w:t xml:space="preserve"> a meeting</w:t>
      </w:r>
      <w:r w:rsidRPr="001305A9">
        <w:rPr>
          <w:rFonts w:ascii="Aptos" w:hAnsi="Aptos"/>
          <w:b/>
          <w:bCs/>
          <w:color w:val="455F51" w:themeColor="text2"/>
        </w:rPr>
        <w:t xml:space="preserve"> </w:t>
      </w:r>
    </w:p>
    <w:p w14:paraId="397F6117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 formal meeting will be convened for applications that are:</w:t>
      </w:r>
    </w:p>
    <w:p w14:paraId="66BC7F74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Demolition and replacement dwellings</w:t>
      </w:r>
    </w:p>
    <w:p w14:paraId="687265A5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Large extensions</w:t>
      </w:r>
    </w:p>
    <w:p w14:paraId="07B26959" w14:textId="14CABED2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Applications with substantial impact on neighbours or street scene</w:t>
      </w:r>
    </w:p>
    <w:p w14:paraId="62803F37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Change of use</w:t>
      </w:r>
    </w:p>
    <w:p w14:paraId="6D06108C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Applications requiring Listed Building Consent (other than repairs)</w:t>
      </w:r>
    </w:p>
    <w:p w14:paraId="1CB5B675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Infill development</w:t>
      </w:r>
    </w:p>
    <w:p w14:paraId="02257A0E" w14:textId="77777777" w:rsidR="001305A9" w:rsidRPr="001305A9" w:rsidRDefault="001305A9" w:rsidP="001305A9">
      <w:pPr>
        <w:numPr>
          <w:ilvl w:val="0"/>
          <w:numId w:val="6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Any application requested by a member.</w:t>
      </w:r>
    </w:p>
    <w:p w14:paraId="45414BEB" w14:textId="77777777" w:rsidR="001305A9" w:rsidRPr="001305A9" w:rsidRDefault="001305A9" w:rsidP="001305A9">
      <w:pPr>
        <w:numPr>
          <w:ilvl w:val="0"/>
          <w:numId w:val="7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Major developments</w:t>
      </w:r>
    </w:p>
    <w:p w14:paraId="750A4EA3" w14:textId="77777777" w:rsidR="001305A9" w:rsidRPr="001305A9" w:rsidRDefault="001305A9" w:rsidP="001305A9">
      <w:pPr>
        <w:numPr>
          <w:ilvl w:val="0"/>
          <w:numId w:val="7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New housing schemes</w:t>
      </w:r>
    </w:p>
    <w:p w14:paraId="2777A779" w14:textId="77777777" w:rsidR="001305A9" w:rsidRPr="001305A9" w:rsidRDefault="001305A9" w:rsidP="001305A9">
      <w:pPr>
        <w:numPr>
          <w:ilvl w:val="0"/>
          <w:numId w:val="7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Social infrastructure proposals </w:t>
      </w:r>
    </w:p>
    <w:p w14:paraId="346081EF" w14:textId="77777777" w:rsidR="001305A9" w:rsidRPr="001305A9" w:rsidRDefault="001305A9" w:rsidP="001305A9">
      <w:pPr>
        <w:numPr>
          <w:ilvl w:val="0"/>
          <w:numId w:val="7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Community facilities</w:t>
      </w:r>
    </w:p>
    <w:p w14:paraId="75657168" w14:textId="551E5981" w:rsidR="001305A9" w:rsidRPr="001305A9" w:rsidRDefault="001305A9" w:rsidP="001305A9">
      <w:pPr>
        <w:numPr>
          <w:ilvl w:val="0"/>
          <w:numId w:val="7"/>
        </w:num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Any application refereed </w:t>
      </w:r>
      <w:r w:rsidR="005C23FF">
        <w:rPr>
          <w:rFonts w:ascii="Aptos" w:hAnsi="Aptos"/>
          <w:color w:val="455F51" w:themeColor="text2"/>
        </w:rPr>
        <w:t>a councillor</w:t>
      </w:r>
      <w:r w:rsidRPr="001305A9">
        <w:rPr>
          <w:rFonts w:ascii="Aptos" w:hAnsi="Aptos"/>
          <w:color w:val="455F51" w:themeColor="text2"/>
        </w:rPr>
        <w:t xml:space="preserve"> </w:t>
      </w:r>
    </w:p>
    <w:p w14:paraId="4FBC9CD7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11D9B9E7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 xml:space="preserve">Recording and submitting responses  </w:t>
      </w:r>
    </w:p>
    <w:p w14:paraId="68BD8591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>The Clerk has delegated authority to collate responses and submit the agreed response which will be based on material considerations and reference relevant policy where appropriate.</w:t>
      </w:r>
    </w:p>
    <w:p w14:paraId="49BA03C9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00301662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4FD75157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1258691A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lastRenderedPageBreak/>
        <w:t>Conflicts of interest</w:t>
      </w:r>
    </w:p>
    <w:p w14:paraId="64C4BAEC" w14:textId="60F31986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  <w:r w:rsidRPr="001305A9">
        <w:rPr>
          <w:rFonts w:ascii="Aptos" w:hAnsi="Aptos"/>
          <w:color w:val="455F51" w:themeColor="text2"/>
        </w:rPr>
        <w:t xml:space="preserve">Members must declare interests in accordance with the Localism Act 2011 and the </w:t>
      </w:r>
      <w:r w:rsidR="005C23FF" w:rsidRPr="001305A9">
        <w:rPr>
          <w:rFonts w:ascii="Aptos" w:hAnsi="Aptos"/>
          <w:color w:val="455F51" w:themeColor="text2"/>
        </w:rPr>
        <w:t>Council’s</w:t>
      </w:r>
      <w:r w:rsidRPr="001305A9">
        <w:rPr>
          <w:rFonts w:ascii="Aptos" w:hAnsi="Aptos"/>
          <w:color w:val="455F51" w:themeColor="text2"/>
        </w:rPr>
        <w:t xml:space="preserve"> Code of Conduct. Members with a disclosable pecuniary interest must not participate in discussion or decision-making.</w:t>
      </w:r>
    </w:p>
    <w:p w14:paraId="6A43DD94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48985B8B" w14:textId="77777777" w:rsidR="001305A9" w:rsidRPr="001305A9" w:rsidRDefault="001305A9" w:rsidP="001305A9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1305A9">
        <w:rPr>
          <w:rFonts w:ascii="Aptos" w:hAnsi="Aptos"/>
          <w:b/>
          <w:bCs/>
          <w:color w:val="455F51" w:themeColor="text2"/>
        </w:rPr>
        <w:t>Data Protection and document handling</w:t>
      </w:r>
    </w:p>
    <w:p w14:paraId="17FCC91A" w14:textId="77777777" w:rsidR="001305A9" w:rsidRPr="001305A9" w:rsidRDefault="001305A9" w:rsidP="001305A9">
      <w:pPr>
        <w:spacing w:before="0" w:after="0"/>
        <w:rPr>
          <w:rFonts w:ascii="Aptos" w:hAnsi="Aptos"/>
        </w:rPr>
      </w:pPr>
      <w:r w:rsidRPr="001305A9">
        <w:rPr>
          <w:rFonts w:ascii="Aptos" w:hAnsi="Aptos"/>
        </w:rPr>
        <w:t>All handling of planning documents and correspondence will comply with GDPR and the Council’s data Protection Policy.</w:t>
      </w:r>
    </w:p>
    <w:p w14:paraId="57BBA99C" w14:textId="77777777" w:rsidR="001305A9" w:rsidRPr="001305A9" w:rsidRDefault="001305A9" w:rsidP="001305A9">
      <w:pPr>
        <w:spacing w:before="0" w:after="0"/>
        <w:rPr>
          <w:rFonts w:ascii="Aptos" w:hAnsi="Aptos"/>
          <w:color w:val="455F51" w:themeColor="text2"/>
        </w:rPr>
      </w:pPr>
    </w:p>
    <w:p w14:paraId="795A8122" w14:textId="77777777" w:rsidR="000D24A7" w:rsidRPr="00D27133" w:rsidRDefault="000D24A7" w:rsidP="005D54A8">
      <w:pPr>
        <w:spacing w:before="0" w:after="0"/>
        <w:rPr>
          <w:rFonts w:ascii="Aptos" w:hAnsi="Aptos"/>
          <w:b/>
          <w:bCs/>
          <w:color w:val="455F51" w:themeColor="text2"/>
        </w:rPr>
      </w:pPr>
      <w:r w:rsidRPr="00D27133">
        <w:rPr>
          <w:rFonts w:ascii="Aptos" w:hAnsi="Aptos"/>
          <w:b/>
          <w:bCs/>
          <w:color w:val="455F51" w:themeColor="text2"/>
        </w:rPr>
        <w:t>Policy Review</w:t>
      </w:r>
    </w:p>
    <w:p w14:paraId="73CA67F5" w14:textId="34F8B04C" w:rsidR="000D24A7" w:rsidRPr="000D24A7" w:rsidRDefault="000D24A7" w:rsidP="005D54A8">
      <w:pPr>
        <w:spacing w:before="0" w:after="0"/>
        <w:rPr>
          <w:rFonts w:ascii="Aptos" w:hAnsi="Aptos"/>
        </w:rPr>
      </w:pPr>
      <w:r w:rsidRPr="000D24A7">
        <w:rPr>
          <w:rFonts w:ascii="Aptos" w:hAnsi="Aptos"/>
        </w:rPr>
        <w:t xml:space="preserve">This policy will be reviewed every two </w:t>
      </w:r>
      <w:r w:rsidR="00B00F42" w:rsidRPr="000D24A7">
        <w:rPr>
          <w:rFonts w:ascii="Aptos" w:hAnsi="Aptos"/>
        </w:rPr>
        <w:t>years or</w:t>
      </w:r>
      <w:r w:rsidRPr="000D24A7">
        <w:rPr>
          <w:rFonts w:ascii="Aptos" w:hAnsi="Aptos"/>
        </w:rPr>
        <w:t xml:space="preserve"> sooner i</w:t>
      </w:r>
      <w:r w:rsidR="007248BF">
        <w:rPr>
          <w:rFonts w:ascii="Aptos" w:hAnsi="Aptos"/>
        </w:rPr>
        <w:t>f</w:t>
      </w:r>
      <w:r w:rsidRPr="000D24A7">
        <w:rPr>
          <w:rFonts w:ascii="Aptos" w:hAnsi="Aptos"/>
        </w:rPr>
        <w:t xml:space="preserve"> required by legislative changes.</w:t>
      </w:r>
    </w:p>
    <w:p w14:paraId="0DF3A0A0" w14:textId="6F7B50D6" w:rsidR="000D24A7" w:rsidRPr="000D24A7" w:rsidRDefault="000D24A7" w:rsidP="005D54A8">
      <w:pPr>
        <w:tabs>
          <w:tab w:val="left" w:pos="6670"/>
        </w:tabs>
        <w:spacing w:before="0" w:after="0"/>
        <w:rPr>
          <w:rFonts w:ascii="Aptos" w:hAnsi="Aptos"/>
          <w:b/>
          <w:caps/>
          <w:color w:val="549E39" w:themeColor="accent1"/>
          <w:spacing w:val="10"/>
          <w:kern w:val="28"/>
        </w:rPr>
      </w:pPr>
      <w:r w:rsidRPr="000D24A7">
        <w:rPr>
          <w:rFonts w:ascii="Aptos" w:hAnsi="Aptos"/>
          <w:b/>
          <w:caps/>
          <w:color w:val="549E39" w:themeColor="accent1"/>
          <w:spacing w:val="10"/>
          <w:kern w:val="28"/>
        </w:rPr>
        <w:tab/>
      </w:r>
    </w:p>
    <w:p w14:paraId="1B92F2DA" w14:textId="77777777" w:rsidR="000D24A7" w:rsidRPr="000D24A7" w:rsidRDefault="000D24A7" w:rsidP="005D54A8">
      <w:pPr>
        <w:spacing w:before="0" w:after="0"/>
        <w:rPr>
          <w:rFonts w:ascii="Aptos" w:hAnsi="Aptos"/>
        </w:rPr>
      </w:pPr>
    </w:p>
    <w:sectPr w:rsidR="000D24A7" w:rsidRPr="000D24A7" w:rsidSect="00D27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40" w:bottom="1440" w:left="1440" w:header="708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7B45" w14:textId="77777777" w:rsidR="005E14C7" w:rsidRDefault="005E14C7">
      <w:r>
        <w:separator/>
      </w:r>
    </w:p>
  </w:endnote>
  <w:endnote w:type="continuationSeparator" w:id="0">
    <w:p w14:paraId="7AA75CB7" w14:textId="77777777" w:rsidR="005E14C7" w:rsidRDefault="005E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4A14" w14:textId="77777777" w:rsidR="00B00F42" w:rsidRDefault="00B00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3EE7" w14:textId="77777777" w:rsidR="00022B7E" w:rsidRDefault="00022B7E" w:rsidP="00022B7E">
    <w:pPr>
      <w:pStyle w:val="Footer"/>
      <w:jc w:val="center"/>
      <w:rPr>
        <w:b/>
        <w:bCs/>
      </w:rPr>
    </w:pPr>
  </w:p>
  <w:p w14:paraId="0BEB0578" w14:textId="77777777" w:rsidR="00022B7E" w:rsidRDefault="00022B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5660" w14:textId="77777777" w:rsidR="00B00F42" w:rsidRDefault="00B00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045F" w14:textId="77777777" w:rsidR="005E14C7" w:rsidRDefault="005E14C7">
      <w:r>
        <w:separator/>
      </w:r>
    </w:p>
  </w:footnote>
  <w:footnote w:type="continuationSeparator" w:id="0">
    <w:p w14:paraId="27C2C764" w14:textId="77777777" w:rsidR="005E14C7" w:rsidRDefault="005E1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56DC" w14:textId="6D31D80F" w:rsidR="00B00F42" w:rsidRDefault="005E14C7">
    <w:pPr>
      <w:pStyle w:val="Header"/>
    </w:pPr>
    <w:r>
      <w:rPr>
        <w:noProof/>
      </w:rPr>
      <w:pict w14:anchorId="658653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9954" o:spid="_x0000_s1026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8D08" w14:textId="4B8C0302" w:rsidR="00B00F42" w:rsidRDefault="005E14C7">
    <w:pPr>
      <w:pStyle w:val="Header"/>
    </w:pPr>
    <w:r>
      <w:rPr>
        <w:noProof/>
      </w:rPr>
      <w:pict w14:anchorId="0688DC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9955" o:spid="_x0000_s1027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63C3" w14:textId="0AF104D9" w:rsidR="00B00F42" w:rsidRDefault="005E14C7">
    <w:pPr>
      <w:pStyle w:val="Header"/>
    </w:pPr>
    <w:r>
      <w:rPr>
        <w:noProof/>
      </w:rPr>
      <w:pict w14:anchorId="21F9E5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9953" o:spid="_x0000_s1025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3031"/>
    <w:multiLevelType w:val="hybridMultilevel"/>
    <w:tmpl w:val="FECC8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E5BA6"/>
    <w:multiLevelType w:val="hybridMultilevel"/>
    <w:tmpl w:val="6EDEB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17983"/>
    <w:multiLevelType w:val="hybridMultilevel"/>
    <w:tmpl w:val="DCE014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CF0DFF"/>
    <w:multiLevelType w:val="hybridMultilevel"/>
    <w:tmpl w:val="62385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EB514E"/>
    <w:multiLevelType w:val="hybridMultilevel"/>
    <w:tmpl w:val="DB0285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524EA7"/>
    <w:multiLevelType w:val="hybridMultilevel"/>
    <w:tmpl w:val="059C9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09E1"/>
    <w:multiLevelType w:val="hybridMultilevel"/>
    <w:tmpl w:val="64AEFC4C"/>
    <w:lvl w:ilvl="0" w:tplc="08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 w16cid:durableId="897280260">
    <w:abstractNumId w:val="5"/>
  </w:num>
  <w:num w:numId="2" w16cid:durableId="189531146">
    <w:abstractNumId w:val="0"/>
  </w:num>
  <w:num w:numId="3" w16cid:durableId="1966960397">
    <w:abstractNumId w:val="1"/>
  </w:num>
  <w:num w:numId="4" w16cid:durableId="570509145">
    <w:abstractNumId w:val="3"/>
  </w:num>
  <w:num w:numId="5" w16cid:durableId="960965140">
    <w:abstractNumId w:val="4"/>
  </w:num>
  <w:num w:numId="6" w16cid:durableId="1307128657">
    <w:abstractNumId w:val="2"/>
  </w:num>
  <w:num w:numId="7" w16cid:durableId="6123700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840"/>
    <w:rsid w:val="00022B7E"/>
    <w:rsid w:val="00072432"/>
    <w:rsid w:val="00076DB0"/>
    <w:rsid w:val="000D24A7"/>
    <w:rsid w:val="00105582"/>
    <w:rsid w:val="001305A9"/>
    <w:rsid w:val="0020086C"/>
    <w:rsid w:val="002F1FA5"/>
    <w:rsid w:val="00325374"/>
    <w:rsid w:val="00330ECE"/>
    <w:rsid w:val="003741C1"/>
    <w:rsid w:val="00465840"/>
    <w:rsid w:val="004A2BD7"/>
    <w:rsid w:val="0051025F"/>
    <w:rsid w:val="00513C52"/>
    <w:rsid w:val="00517C9E"/>
    <w:rsid w:val="00542FEA"/>
    <w:rsid w:val="00576DAC"/>
    <w:rsid w:val="005C23FF"/>
    <w:rsid w:val="005D53A4"/>
    <w:rsid w:val="005D54A8"/>
    <w:rsid w:val="005E14C7"/>
    <w:rsid w:val="005E598F"/>
    <w:rsid w:val="00600209"/>
    <w:rsid w:val="00631BDC"/>
    <w:rsid w:val="006E1E96"/>
    <w:rsid w:val="007248BF"/>
    <w:rsid w:val="007537D2"/>
    <w:rsid w:val="0079064C"/>
    <w:rsid w:val="00873ED7"/>
    <w:rsid w:val="008E6AA0"/>
    <w:rsid w:val="0090783D"/>
    <w:rsid w:val="00A226D8"/>
    <w:rsid w:val="00A6727B"/>
    <w:rsid w:val="00B00F42"/>
    <w:rsid w:val="00B13EC1"/>
    <w:rsid w:val="00C51D93"/>
    <w:rsid w:val="00CB7206"/>
    <w:rsid w:val="00D27133"/>
    <w:rsid w:val="00E278CD"/>
    <w:rsid w:val="00E96CE7"/>
    <w:rsid w:val="00F27FAF"/>
    <w:rsid w:val="00FE150C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1302"/>
  <w15:docId w15:val="{70EA5A44-5E15-47AF-A739-7D77E577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50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50C"/>
    <w:pPr>
      <w:pBdr>
        <w:top w:val="single" w:sz="24" w:space="0" w:color="549E39" w:themeColor="accent1"/>
        <w:left w:val="single" w:sz="24" w:space="0" w:color="549E39" w:themeColor="accent1"/>
        <w:bottom w:val="single" w:sz="24" w:space="0" w:color="549E39" w:themeColor="accent1"/>
        <w:right w:val="single" w:sz="24" w:space="0" w:color="549E39" w:themeColor="accent1"/>
      </w:pBdr>
      <w:shd w:val="clear" w:color="auto" w:fill="549E3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50C"/>
    <w:pPr>
      <w:pBdr>
        <w:top w:val="single" w:sz="24" w:space="0" w:color="DAEFD3" w:themeColor="accent1" w:themeTint="33"/>
        <w:left w:val="single" w:sz="24" w:space="0" w:color="DAEFD3" w:themeColor="accent1" w:themeTint="33"/>
        <w:bottom w:val="single" w:sz="24" w:space="0" w:color="DAEFD3" w:themeColor="accent1" w:themeTint="33"/>
        <w:right w:val="single" w:sz="24" w:space="0" w:color="DAEFD3" w:themeColor="accent1" w:themeTint="33"/>
      </w:pBdr>
      <w:shd w:val="clear" w:color="auto" w:fill="DAEFD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150C"/>
    <w:pPr>
      <w:pBdr>
        <w:top w:val="single" w:sz="6" w:space="2" w:color="549E39" w:themeColor="accent1"/>
        <w:left w:val="single" w:sz="6" w:space="2" w:color="549E39" w:themeColor="accent1"/>
      </w:pBdr>
      <w:spacing w:before="300" w:after="0"/>
      <w:outlineLvl w:val="2"/>
    </w:pPr>
    <w:rPr>
      <w:caps/>
      <w:color w:val="294E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150C"/>
    <w:pPr>
      <w:pBdr>
        <w:top w:val="dotted" w:sz="6" w:space="2" w:color="549E39" w:themeColor="accent1"/>
        <w:left w:val="dotted" w:sz="6" w:space="2" w:color="549E39" w:themeColor="accent1"/>
      </w:pBdr>
      <w:spacing w:before="300" w:after="0"/>
      <w:outlineLvl w:val="3"/>
    </w:pPr>
    <w:rPr>
      <w:caps/>
      <w:color w:val="3E76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150C"/>
    <w:pPr>
      <w:pBdr>
        <w:bottom w:val="single" w:sz="6" w:space="1" w:color="549E39" w:themeColor="accent1"/>
      </w:pBdr>
      <w:spacing w:before="300" w:after="0"/>
      <w:outlineLvl w:val="4"/>
    </w:pPr>
    <w:rPr>
      <w:caps/>
      <w:color w:val="3E76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150C"/>
    <w:pPr>
      <w:pBdr>
        <w:bottom w:val="dotted" w:sz="6" w:space="1" w:color="549E39" w:themeColor="accent1"/>
      </w:pBdr>
      <w:spacing w:before="300" w:after="0"/>
      <w:outlineLvl w:val="5"/>
    </w:pPr>
    <w:rPr>
      <w:caps/>
      <w:color w:val="3E76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150C"/>
    <w:pPr>
      <w:spacing w:before="300" w:after="0"/>
      <w:outlineLvl w:val="6"/>
    </w:pPr>
    <w:rPr>
      <w:caps/>
      <w:color w:val="3E76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150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150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Pr>
      <w:rFonts w:ascii="CG Times" w:hAnsi="CG Times"/>
      <w:sz w:val="24"/>
      <w:lang w:val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E150C"/>
    <w:rPr>
      <w:b/>
      <w:bCs/>
      <w:caps/>
      <w:color w:val="FFFFFF" w:themeColor="background1"/>
      <w:spacing w:val="15"/>
      <w:shd w:val="clear" w:color="auto" w:fill="549E3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50C"/>
    <w:rPr>
      <w:caps/>
      <w:spacing w:val="15"/>
      <w:shd w:val="clear" w:color="auto" w:fill="DAEFD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150C"/>
    <w:rPr>
      <w:caps/>
      <w:color w:val="294E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150C"/>
    <w:rPr>
      <w:caps/>
      <w:color w:val="3E76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150C"/>
    <w:rPr>
      <w:caps/>
      <w:color w:val="3E76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150C"/>
    <w:rPr>
      <w:caps/>
      <w:color w:val="3E76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150C"/>
    <w:rPr>
      <w:caps/>
      <w:color w:val="3E76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15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150C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150C"/>
    <w:rPr>
      <w:b/>
      <w:bCs/>
      <w:color w:val="3E76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150C"/>
    <w:pPr>
      <w:spacing w:before="720"/>
    </w:pPr>
    <w:rPr>
      <w:caps/>
      <w:color w:val="549E3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150C"/>
    <w:rPr>
      <w:caps/>
      <w:color w:val="549E3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50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150C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150C"/>
    <w:rPr>
      <w:b/>
      <w:bCs/>
    </w:rPr>
  </w:style>
  <w:style w:type="character" w:styleId="Emphasis">
    <w:name w:val="Emphasis"/>
    <w:uiPriority w:val="20"/>
    <w:qFormat/>
    <w:rsid w:val="00FE150C"/>
    <w:rPr>
      <w:caps/>
      <w:color w:val="294E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150C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150C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1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150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150C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50C"/>
    <w:pPr>
      <w:pBdr>
        <w:top w:val="single" w:sz="4" w:space="10" w:color="549E39" w:themeColor="accent1"/>
        <w:left w:val="single" w:sz="4" w:space="10" w:color="549E39" w:themeColor="accent1"/>
      </w:pBdr>
      <w:spacing w:after="0"/>
      <w:ind w:left="1296" w:right="1152"/>
      <w:jc w:val="both"/>
    </w:pPr>
    <w:rPr>
      <w:i/>
      <w:iCs/>
      <w:color w:val="549E3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50C"/>
    <w:rPr>
      <w:i/>
      <w:iCs/>
      <w:color w:val="549E39" w:themeColor="accent1"/>
      <w:sz w:val="20"/>
      <w:szCs w:val="20"/>
    </w:rPr>
  </w:style>
  <w:style w:type="character" w:styleId="SubtleEmphasis">
    <w:name w:val="Subtle Emphasis"/>
    <w:uiPriority w:val="19"/>
    <w:qFormat/>
    <w:rsid w:val="00FE150C"/>
    <w:rPr>
      <w:i/>
      <w:iCs/>
      <w:color w:val="294E1C" w:themeColor="accent1" w:themeShade="7F"/>
    </w:rPr>
  </w:style>
  <w:style w:type="character" w:styleId="IntenseEmphasis">
    <w:name w:val="Intense Emphasis"/>
    <w:uiPriority w:val="21"/>
    <w:qFormat/>
    <w:rsid w:val="00FE150C"/>
    <w:rPr>
      <w:b/>
      <w:bCs/>
      <w:caps/>
      <w:color w:val="294E1C" w:themeColor="accent1" w:themeShade="7F"/>
      <w:spacing w:val="10"/>
    </w:rPr>
  </w:style>
  <w:style w:type="character" w:styleId="SubtleReference">
    <w:name w:val="Subtle Reference"/>
    <w:uiPriority w:val="31"/>
    <w:qFormat/>
    <w:rsid w:val="00FE150C"/>
    <w:rPr>
      <w:b/>
      <w:bCs/>
      <w:color w:val="549E39" w:themeColor="accent1"/>
    </w:rPr>
  </w:style>
  <w:style w:type="character" w:styleId="IntenseReference">
    <w:name w:val="Intense Reference"/>
    <w:uiPriority w:val="32"/>
    <w:qFormat/>
    <w:rsid w:val="00FE150C"/>
    <w:rPr>
      <w:b/>
      <w:bCs/>
      <w:i/>
      <w:iCs/>
      <w:caps/>
      <w:color w:val="549E39" w:themeColor="accent1"/>
    </w:rPr>
  </w:style>
  <w:style w:type="character" w:styleId="BookTitle">
    <w:name w:val="Book Title"/>
    <w:uiPriority w:val="33"/>
    <w:qFormat/>
    <w:rsid w:val="00FE150C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150C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571</Words>
  <Characters>3426</Characters>
  <Application>Microsoft Office Word</Application>
  <DocSecurity>0</DocSecurity>
  <Lines>95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Woodmancote Parish Council</Company>
  <LinksUpToDate>false</LinksUpToDate>
  <CharactersWithSpaces>3926</CharactersWithSpaces>
  <SharedDoc>false</SharedDoc>
  <HLinks>
    <vt:vector size="18" baseType="variant">
      <vt:variant>
        <vt:i4>6684727</vt:i4>
      </vt:variant>
      <vt:variant>
        <vt:i4>0</vt:i4>
      </vt:variant>
      <vt:variant>
        <vt:i4>0</vt:i4>
      </vt:variant>
      <vt:variant>
        <vt:i4>5</vt:i4>
      </vt:variant>
      <vt:variant>
        <vt:lpwstr>http://www.ico.gov.uk/</vt:lpwstr>
      </vt:variant>
      <vt:variant>
        <vt:lpwstr/>
      </vt:variant>
      <vt:variant>
        <vt:i4>1900669</vt:i4>
      </vt:variant>
      <vt:variant>
        <vt:i4>9</vt:i4>
      </vt:variant>
      <vt:variant>
        <vt:i4>0</vt:i4>
      </vt:variant>
      <vt:variant>
        <vt:i4>5</vt:i4>
      </vt:variant>
      <vt:variant>
        <vt:lpwstr>mailto:feedback@itgovernance.co.uk</vt:lpwstr>
      </vt:variant>
      <vt:variant>
        <vt:lpwstr/>
      </vt:variant>
      <vt:variant>
        <vt:i4>3670125</vt:i4>
      </vt:variant>
      <vt:variant>
        <vt:i4>6</vt:i4>
      </vt:variant>
      <vt:variant>
        <vt:i4>0</vt:i4>
      </vt:variant>
      <vt:variant>
        <vt:i4>5</vt:i4>
      </vt:variant>
      <vt:variant>
        <vt:lpwstr>http://www.itgovernance.co.uk/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Newell</dc:creator>
  <cp:keywords/>
  <cp:lastModifiedBy>Woodmancote Parish Clerk</cp:lastModifiedBy>
  <cp:revision>9</cp:revision>
  <dcterms:created xsi:type="dcterms:W3CDTF">2026-03-09T20:26:00Z</dcterms:created>
  <dcterms:modified xsi:type="dcterms:W3CDTF">2026-03-09T20:35:00Z</dcterms:modified>
  <cp:category>Woodmancote Parish Council</cp:category>
</cp:coreProperties>
</file>